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9316A7" w:rsidRPr="009316A7">
        <w:rPr>
          <w:rFonts w:ascii="Arial" w:hAnsi="Arial" w:cs="Arial"/>
          <w:b/>
          <w:sz w:val="24"/>
          <w:szCs w:val="24"/>
          <w:lang w:eastAsia="ja-JP"/>
        </w:rPr>
        <w:t>0956</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0771A" w:rsidRPr="00E0771A">
        <w:rPr>
          <w:rFonts w:ascii="Arial" w:hAnsi="Arial" w:cs="Arial"/>
          <w:color w:val="000000" w:themeColor="text1"/>
          <w:lang w:eastAsia="ja-JP"/>
        </w:rPr>
        <w:t>9.5.7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0771A" w:rsidP="001A248F">
            <w:pPr>
              <w:tabs>
                <w:tab w:val="left" w:pos="567"/>
              </w:tabs>
              <w:spacing w:after="0"/>
              <w:rPr>
                <w:rFonts w:ascii="Arial" w:hAnsi="Arial" w:cs="Arial"/>
              </w:rPr>
            </w:pPr>
            <w:r>
              <w:rPr>
                <w:rFonts w:ascii="Arial" w:hAnsi="Arial" w:cs="Arial"/>
              </w:rPr>
              <w:t>I</w:t>
            </w:r>
            <w:r w:rsidRPr="00E0771A">
              <w:rPr>
                <w:rFonts w:ascii="Arial" w:hAnsi="Arial" w:cs="Arial"/>
              </w:rPr>
              <w:t>ntroduction of</w:t>
            </w:r>
            <w:r>
              <w:rPr>
                <w:rFonts w:ascii="Arial" w:hAnsi="Arial" w:cs="Arial"/>
              </w:rPr>
              <w:t xml:space="preserve"> band</w:t>
            </w:r>
            <w:r w:rsidRPr="00E0771A">
              <w:rPr>
                <w:rFonts w:ascii="Arial" w:hAnsi="Arial" w:cs="Arial"/>
              </w:rPr>
              <w:t xml:space="preserve"> n259</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E0771A" w:rsidP="001A248F">
            <w:pPr>
              <w:tabs>
                <w:tab w:val="left" w:pos="567"/>
              </w:tabs>
              <w:spacing w:after="0"/>
              <w:rPr>
                <w:rFonts w:ascii="Arial" w:hAnsi="Arial" w:cs="Arial"/>
              </w:rPr>
            </w:pPr>
            <w:r w:rsidRPr="00E0771A">
              <w:rPr>
                <w:rFonts w:ascii="Arial" w:hAnsi="Arial" w:cs="Arial"/>
                <w:color w:val="000000" w:themeColor="text1"/>
                <w:lang w:eastAsia="ja-JP"/>
              </w:rPr>
              <w:t>No</w:t>
            </w:r>
          </w:p>
        </w:tc>
        <w:tc>
          <w:tcPr>
            <w:tcW w:w="1842" w:type="dxa"/>
          </w:tcPr>
          <w:p w:rsidR="00871653" w:rsidRPr="00E0771A" w:rsidRDefault="00871653" w:rsidP="001A248F">
            <w:pPr>
              <w:tabs>
                <w:tab w:val="left" w:pos="567"/>
              </w:tabs>
              <w:spacing w:after="0"/>
              <w:rPr>
                <w:rFonts w:ascii="Arial" w:hAnsi="Arial" w:cs="Arial"/>
                <w:color w:val="000000" w:themeColor="text1"/>
                <w:lang w:eastAsia="ja-JP"/>
              </w:rPr>
            </w:pPr>
            <w:r w:rsidRPr="00E0771A">
              <w:rPr>
                <w:rFonts w:ascii="Arial" w:hAnsi="Arial" w:cs="Arial"/>
                <w:color w:val="000000" w:themeColor="text1"/>
              </w:rPr>
              <w:t>Core part:</w:t>
            </w:r>
            <w:r w:rsidRPr="00E0771A">
              <w:rPr>
                <w:rFonts w:ascii="Arial" w:hAnsi="Arial" w:cs="Arial"/>
                <w:color w:val="000000" w:themeColor="text1"/>
                <w:lang w:eastAsia="ja-JP"/>
              </w:rPr>
              <w:t xml:space="preserve"> </w:t>
            </w:r>
          </w:p>
          <w:p w:rsidR="00871653" w:rsidRPr="00E0771A" w:rsidRDefault="00E0771A" w:rsidP="001A248F">
            <w:pPr>
              <w:tabs>
                <w:tab w:val="left" w:pos="567"/>
              </w:tabs>
              <w:spacing w:after="0"/>
              <w:rPr>
                <w:rFonts w:ascii="Arial" w:hAnsi="Arial" w:cs="Arial"/>
                <w:color w:val="000000" w:themeColor="text1"/>
                <w:lang w:eastAsia="ja-JP"/>
              </w:rPr>
            </w:pPr>
            <w:r w:rsidRPr="00E0771A">
              <w:rPr>
                <w:rFonts w:ascii="Arial" w:hAnsi="Arial" w:cs="Arial"/>
                <w:color w:val="000000" w:themeColor="text1"/>
                <w:lang w:eastAsia="ja-JP"/>
              </w:rPr>
              <w:t>Yes</w:t>
            </w:r>
          </w:p>
        </w:tc>
        <w:tc>
          <w:tcPr>
            <w:tcW w:w="2309" w:type="dxa"/>
            <w:gridSpan w:val="2"/>
          </w:tcPr>
          <w:p w:rsidR="00871653" w:rsidRPr="00E0771A" w:rsidRDefault="00871653" w:rsidP="001A248F">
            <w:pPr>
              <w:tabs>
                <w:tab w:val="left" w:pos="567"/>
              </w:tabs>
              <w:spacing w:after="0"/>
              <w:rPr>
                <w:rFonts w:ascii="Arial" w:hAnsi="Arial" w:cs="Arial"/>
                <w:color w:val="000000" w:themeColor="text1"/>
              </w:rPr>
            </w:pPr>
            <w:r w:rsidRPr="00E0771A">
              <w:rPr>
                <w:rFonts w:ascii="Arial" w:hAnsi="Arial" w:cs="Arial"/>
                <w:color w:val="000000" w:themeColor="text1"/>
              </w:rPr>
              <w:t>Performance part:</w:t>
            </w:r>
          </w:p>
          <w:p w:rsidR="00871653" w:rsidRPr="00E0771A" w:rsidRDefault="00871653" w:rsidP="0036248C">
            <w:pPr>
              <w:tabs>
                <w:tab w:val="left" w:pos="567"/>
              </w:tabs>
              <w:spacing w:after="0"/>
              <w:rPr>
                <w:rFonts w:ascii="Arial" w:hAnsi="Arial" w:cs="Arial"/>
                <w:color w:val="000000" w:themeColor="text1"/>
                <w:lang w:eastAsia="ja-JP"/>
              </w:rPr>
            </w:pPr>
            <w:r w:rsidRPr="00E0771A">
              <w:rPr>
                <w:rFonts w:ascii="Arial" w:hAnsi="Arial" w:cs="Arial"/>
                <w:color w:val="000000" w:themeColor="text1"/>
                <w:lang w:eastAsia="ja-JP"/>
              </w:rPr>
              <w:t>No</w:t>
            </w:r>
          </w:p>
        </w:tc>
        <w:tc>
          <w:tcPr>
            <w:tcW w:w="1653" w:type="dxa"/>
          </w:tcPr>
          <w:p w:rsidR="00E0771A" w:rsidRPr="00E0771A" w:rsidRDefault="00871653" w:rsidP="00E0771A">
            <w:pPr>
              <w:tabs>
                <w:tab w:val="left" w:pos="567"/>
              </w:tabs>
              <w:spacing w:after="0"/>
              <w:rPr>
                <w:rFonts w:ascii="Arial" w:hAnsi="Arial" w:cs="Arial"/>
                <w:color w:val="000000" w:themeColor="text1"/>
              </w:rPr>
            </w:pPr>
            <w:r w:rsidRPr="00E0771A">
              <w:rPr>
                <w:rFonts w:ascii="Arial" w:hAnsi="Arial" w:cs="Arial"/>
                <w:color w:val="000000" w:themeColor="text1"/>
              </w:rPr>
              <w:t>Testing part:</w:t>
            </w:r>
          </w:p>
          <w:p w:rsidR="00871653" w:rsidRPr="00E0771A" w:rsidRDefault="00871653" w:rsidP="00E0771A">
            <w:pPr>
              <w:tabs>
                <w:tab w:val="left" w:pos="567"/>
              </w:tabs>
              <w:spacing w:after="0"/>
              <w:rPr>
                <w:rFonts w:ascii="Arial" w:hAnsi="Arial" w:cs="Arial"/>
                <w:color w:val="000000" w:themeColor="text1"/>
              </w:rPr>
            </w:pPr>
            <w:r w:rsidRPr="00E0771A">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0771A" w:rsidP="008836AC">
            <w:pPr>
              <w:tabs>
                <w:tab w:val="left" w:pos="567"/>
              </w:tabs>
              <w:spacing w:after="0"/>
              <w:rPr>
                <w:rFonts w:ascii="Arial" w:hAnsi="Arial" w:cs="Arial"/>
              </w:rPr>
            </w:pPr>
            <w:r w:rsidRPr="00E0771A">
              <w:rPr>
                <w:rFonts w:ascii="Arial" w:hAnsi="Arial" w:cs="Arial"/>
              </w:rPr>
              <w:t>NR</w:t>
            </w:r>
            <w:bookmarkStart w:id="0" w:name="_GoBack"/>
            <w:bookmarkEnd w:id="0"/>
            <w:r w:rsidRPr="00E0771A">
              <w:rPr>
                <w:rFonts w:ascii="Arial" w:hAnsi="Arial" w:cs="Arial"/>
              </w:rPr>
              <w:t>_n259</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27BCF" w:rsidP="008836AC">
            <w:pPr>
              <w:tabs>
                <w:tab w:val="left" w:pos="567"/>
              </w:tabs>
              <w:spacing w:after="0"/>
              <w:rPr>
                <w:rFonts w:ascii="Arial" w:hAnsi="Arial" w:cs="Arial"/>
                <w:lang w:eastAsia="ja-JP"/>
              </w:rPr>
            </w:pPr>
            <w:r>
              <w:rPr>
                <w:rFonts w:ascii="Arial" w:hAnsi="Arial" w:cs="Arial"/>
                <w:lang w:eastAsia="ja-JP"/>
              </w:rPr>
              <w:t>830097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0771A" w:rsidP="008836AC">
            <w:pPr>
              <w:tabs>
                <w:tab w:val="left" w:pos="567"/>
              </w:tabs>
              <w:spacing w:after="0"/>
              <w:rPr>
                <w:rFonts w:ascii="Arial" w:hAnsi="Arial" w:cs="Arial"/>
                <w:lang w:eastAsia="ja-JP"/>
              </w:rPr>
            </w:pPr>
            <w:r w:rsidRPr="00E0771A">
              <w:rPr>
                <w:rFonts w:ascii="Arial" w:hAnsi="Arial" w:cs="Arial"/>
                <w:lang w:eastAsia="ja-JP"/>
              </w:rPr>
              <w:t>RP-190765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0771A" w:rsidP="008836AC">
            <w:pPr>
              <w:tabs>
                <w:tab w:val="left" w:pos="567"/>
              </w:tabs>
              <w:spacing w:after="0"/>
              <w:rPr>
                <w:rFonts w:ascii="Arial" w:hAnsi="Arial" w:cs="Arial"/>
                <w:lang w:eastAsia="ja-JP"/>
              </w:rPr>
            </w:pPr>
            <w:r w:rsidRPr="00E0771A">
              <w:rPr>
                <w:rFonts w:ascii="Arial" w:hAnsi="Arial" w:cs="Arial"/>
                <w:color w:val="000000" w:themeColor="text1"/>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0771A" w:rsidRPr="00E0771A">
              <w:rPr>
                <w:rFonts w:ascii="Arial" w:hAnsi="Arial" w:cs="Arial"/>
                <w:color w:val="000000" w:themeColor="text1"/>
                <w:lang w:eastAsia="ja-JP"/>
              </w:rPr>
              <w:t>12</w:t>
            </w:r>
            <w:r w:rsidRPr="00E0771A">
              <w:rPr>
                <w:rFonts w:ascii="Arial" w:hAnsi="Arial" w:cs="Arial"/>
                <w:color w:val="000000" w:themeColor="text1"/>
                <w:lang w:eastAsia="ja-JP"/>
              </w:rPr>
              <w:t>/</w:t>
            </w:r>
            <w:r w:rsidR="00E0771A" w:rsidRPr="00E0771A">
              <w:rPr>
                <w:rFonts w:ascii="Arial" w:hAnsi="Arial" w:cs="Arial"/>
                <w:color w:val="000000" w:themeColor="text1"/>
                <w:lang w:eastAsia="ja-JP"/>
              </w:rPr>
              <w:t>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0771A" w:rsidRPr="00E0771A">
              <w:rPr>
                <w:rFonts w:ascii="Arial" w:hAnsi="Arial" w:cs="Arial"/>
                <w:color w:val="000000" w:themeColor="text1"/>
                <w:lang w:eastAsia="ja-JP"/>
              </w:rPr>
              <w:t>12/2019</w:t>
            </w:r>
          </w:p>
        </w:tc>
        <w:tc>
          <w:tcPr>
            <w:tcW w:w="1694" w:type="dxa"/>
            <w:gridSpan w:val="2"/>
          </w:tcPr>
          <w:p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E0771A" w:rsidRPr="006A7BCB" w:rsidRDefault="00E0771A" w:rsidP="008836AC">
            <w:pPr>
              <w:tabs>
                <w:tab w:val="left" w:pos="567"/>
              </w:tabs>
              <w:spacing w:after="0"/>
              <w:rPr>
                <w:rFonts w:ascii="Arial" w:hAnsi="Arial" w:cs="Arial"/>
                <w:highlight w:val="yellow"/>
                <w:lang w:eastAsia="ja-JP"/>
              </w:rPr>
            </w:pPr>
            <w:r w:rsidRPr="00E0771A">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E0771A" w:rsidP="008836AC">
            <w:pPr>
              <w:tabs>
                <w:tab w:val="left" w:pos="567"/>
              </w:tabs>
              <w:spacing w:after="0"/>
              <w:rPr>
                <w:rFonts w:ascii="Arial" w:hAnsi="Arial" w:cs="Arial"/>
                <w:lang w:eastAsia="ja-JP"/>
              </w:rPr>
            </w:pPr>
            <w:r w:rsidRPr="00E0771A">
              <w:rPr>
                <w:rFonts w:ascii="Arial" w:hAnsi="Arial" w:cs="Arial"/>
                <w:color w:val="000000" w:themeColor="text1"/>
                <w:lang w:eastAsia="ja-JP"/>
              </w:rPr>
              <w:t>NA</w:t>
            </w:r>
          </w:p>
        </w:tc>
        <w:tc>
          <w:tcPr>
            <w:tcW w:w="1842" w:type="dxa"/>
          </w:tcPr>
          <w:p w:rsidR="00871653" w:rsidRPr="00E0771A" w:rsidRDefault="00871653" w:rsidP="008836AC">
            <w:pPr>
              <w:tabs>
                <w:tab w:val="left" w:pos="567"/>
              </w:tabs>
              <w:spacing w:after="0"/>
              <w:rPr>
                <w:rFonts w:ascii="Arial" w:hAnsi="Arial" w:cs="Arial"/>
                <w:color w:val="000000" w:themeColor="text1"/>
                <w:lang w:eastAsia="ja-JP"/>
              </w:rPr>
            </w:pPr>
            <w:r w:rsidRPr="00E0771A">
              <w:rPr>
                <w:rFonts w:ascii="Arial" w:hAnsi="Arial" w:cs="Arial"/>
                <w:color w:val="000000" w:themeColor="text1"/>
                <w:lang w:eastAsia="ja-JP"/>
              </w:rPr>
              <w:t xml:space="preserve">Core part: </w:t>
            </w:r>
          </w:p>
          <w:p w:rsidR="00871653" w:rsidRPr="00E0771A" w:rsidRDefault="00E0771A" w:rsidP="008836AC">
            <w:pPr>
              <w:tabs>
                <w:tab w:val="left" w:pos="567"/>
              </w:tabs>
              <w:spacing w:after="0"/>
              <w:rPr>
                <w:rFonts w:ascii="Arial" w:hAnsi="Arial" w:cs="Arial"/>
                <w:color w:val="000000" w:themeColor="text1"/>
                <w:lang w:eastAsia="ja-JP"/>
              </w:rPr>
            </w:pPr>
            <w:r w:rsidRPr="00A05DF9">
              <w:rPr>
                <w:rFonts w:ascii="Arial" w:hAnsi="Arial" w:cs="Arial"/>
                <w:color w:val="00B050"/>
                <w:lang w:eastAsia="ja-JP"/>
              </w:rPr>
              <w:t>10</w:t>
            </w:r>
            <w:r w:rsidR="00871653" w:rsidRPr="00A05DF9">
              <w:rPr>
                <w:rFonts w:ascii="Arial" w:hAnsi="Arial" w:cs="Arial"/>
                <w:color w:val="00B050"/>
                <w:lang w:eastAsia="ja-JP"/>
              </w:rPr>
              <w:t>%</w:t>
            </w:r>
          </w:p>
        </w:tc>
        <w:tc>
          <w:tcPr>
            <w:tcW w:w="2268" w:type="dxa"/>
          </w:tcPr>
          <w:p w:rsidR="00E0771A"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E0771A" w:rsidP="008836AC">
            <w:pPr>
              <w:tabs>
                <w:tab w:val="left" w:pos="567"/>
              </w:tabs>
              <w:spacing w:after="0"/>
              <w:rPr>
                <w:rFonts w:ascii="Arial" w:hAnsi="Arial" w:cs="Arial"/>
                <w:lang w:eastAsia="ja-JP"/>
              </w:rPr>
            </w:pPr>
            <w:r w:rsidRPr="00A05DF9">
              <w:rPr>
                <w:rFonts w:ascii="Arial" w:hAnsi="Arial" w:cs="Arial"/>
                <w:color w:val="00B050"/>
                <w:lang w:eastAsia="ja-JP"/>
              </w:rPr>
              <w:t>0</w:t>
            </w:r>
            <w:r w:rsidR="00871653" w:rsidRPr="00A05DF9">
              <w:rPr>
                <w:rFonts w:ascii="Arial" w:hAnsi="Arial" w:cs="Arial"/>
                <w:color w:val="00B050"/>
                <w:lang w:eastAsia="ja-JP"/>
              </w:rPr>
              <w:t>%</w:t>
            </w:r>
          </w:p>
        </w:tc>
        <w:tc>
          <w:tcPr>
            <w:tcW w:w="1694" w:type="dxa"/>
            <w:gridSpan w:val="2"/>
          </w:tcPr>
          <w:p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E0771A" w:rsidRPr="006A7BCB" w:rsidRDefault="00E0771A" w:rsidP="008836AC">
            <w:pPr>
              <w:tabs>
                <w:tab w:val="left" w:pos="567"/>
              </w:tabs>
              <w:spacing w:after="0"/>
              <w:rPr>
                <w:rFonts w:ascii="Arial" w:hAnsi="Arial" w:cs="Arial"/>
                <w:highlight w:val="yellow"/>
                <w:lang w:eastAsia="ja-JP"/>
              </w:rPr>
            </w:pPr>
            <w:r w:rsidRPr="00E0771A">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2"/>
        <w:gridCol w:w="1331"/>
        <w:gridCol w:w="7343"/>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F650D9" w:rsidP="001A248F">
            <w:pPr>
              <w:tabs>
                <w:tab w:val="left" w:pos="567"/>
              </w:tabs>
              <w:spacing w:after="0"/>
              <w:rPr>
                <w:rFonts w:ascii="Arial" w:hAnsi="Arial" w:cs="Arial"/>
                <w:color w:val="FF0000"/>
              </w:rPr>
            </w:pPr>
            <w:r w:rsidRPr="00E0771A">
              <w:rPr>
                <w:rFonts w:ascii="Arial" w:hAnsi="Arial" w:cs="Arial"/>
                <w:color w:val="000000" w:themeColor="text1"/>
              </w:rPr>
              <w:t>RAN</w:t>
            </w:r>
            <w:r w:rsidR="00E0771A" w:rsidRPr="00E0771A">
              <w:rPr>
                <w:rFonts w:ascii="Arial" w:hAnsi="Arial" w:cs="Arial"/>
                <w:color w:val="000000" w:themeColor="text1"/>
              </w:rPr>
              <w:t xml:space="preserve"> WG</w:t>
            </w:r>
            <w:r w:rsidRPr="00E0771A">
              <w:rPr>
                <w:rFonts w:ascii="Arial" w:hAnsi="Arial" w:cs="Arial"/>
                <w:color w:val="000000" w:themeColor="text1"/>
              </w:rPr>
              <w:t>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F650D9" w:rsidP="0036248C">
            <w:pPr>
              <w:tabs>
                <w:tab w:val="left" w:pos="567"/>
              </w:tabs>
              <w:spacing w:after="0"/>
              <w:rPr>
                <w:rFonts w:ascii="Arial" w:hAnsi="Arial" w:cs="Arial"/>
                <w:lang w:eastAsia="ja-JP"/>
              </w:rPr>
            </w:pPr>
            <w:r w:rsidRPr="00F650D9">
              <w:rPr>
                <w:rFonts w:ascii="Arial" w:hAnsi="Arial" w:cs="Arial"/>
                <w:lang w:eastAsia="ja-JP"/>
              </w:rPr>
              <w:t>Reihaneh Malekafzaliardakani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F650D9"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87D78" w:rsidP="00F650D9">
            <w:pPr>
              <w:tabs>
                <w:tab w:val="left" w:pos="567"/>
              </w:tabs>
              <w:spacing w:after="0" w:line="480" w:lineRule="auto"/>
              <w:rPr>
                <w:rFonts w:ascii="Arial" w:hAnsi="Arial" w:cs="Arial"/>
              </w:rPr>
            </w:pPr>
            <w:hyperlink r:id="rId7" w:history="1">
              <w:r w:rsidR="00AE3B51" w:rsidRPr="00F9782F">
                <w:rPr>
                  <w:rStyle w:val="Hyperlink"/>
                  <w:rFonts w:ascii="Arial" w:hAnsi="Arial" w:cs="Arial"/>
                </w:rPr>
                <w:t>reihaneh.malekafzaliardakani@ericsson.com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E0771A">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F94B86" w:rsidRDefault="00F94B86" w:rsidP="00F94B86">
      <w:pPr>
        <w:rPr>
          <w:lang w:eastAsia="ja-JP"/>
        </w:rPr>
      </w:pPr>
      <w:r w:rsidRPr="00F94B86">
        <w:rPr>
          <w:lang w:eastAsia="ja-JP"/>
        </w:rPr>
        <w:t>R4-1905195</w:t>
      </w:r>
      <w:r w:rsidRPr="00F94B86">
        <w:rPr>
          <w:lang w:eastAsia="ja-JP"/>
        </w:rPr>
        <w:tab/>
        <w:t>New frequency range for NR band n259</w:t>
      </w:r>
      <w:r>
        <w:rPr>
          <w:lang w:eastAsia="ja-JP"/>
        </w:rPr>
        <w:t>-TR skeleton, Ericsson GmbH</w:t>
      </w:r>
    </w:p>
    <w:p w:rsidR="00F94B86" w:rsidRPr="00F94B86" w:rsidRDefault="00F94B86" w:rsidP="00F94B86">
      <w:pPr>
        <w:rPr>
          <w:lang w:eastAsia="ja-JP"/>
        </w:rPr>
      </w:pPr>
      <w:r w:rsidRPr="00F94B86">
        <w:rPr>
          <w:lang w:eastAsia="ja-JP"/>
        </w:rPr>
        <w:t>R4-1904379</w:t>
      </w:r>
      <w:r w:rsidRPr="00F94B86">
        <w:rPr>
          <w:lang w:eastAsia="ja-JP"/>
        </w:rPr>
        <w:tab/>
        <w:t>Scope and workplan for introduction of Band n259 WI</w:t>
      </w:r>
      <w:r>
        <w:rPr>
          <w:lang w:eastAsia="ja-JP"/>
        </w:rPr>
        <w:t>, Ericsson GmbH</w:t>
      </w:r>
    </w:p>
    <w:p w:rsidR="00E0771A" w:rsidRDefault="00E0771A" w:rsidP="00E0771A">
      <w:pPr>
        <w:rPr>
          <w:i/>
        </w:rPr>
      </w:pPr>
      <w:r w:rsidRPr="00E0771A">
        <w:rPr>
          <w:lang w:eastAsia="ja-JP"/>
        </w:rPr>
        <w:t>R4-1906861</w:t>
      </w:r>
      <w:r w:rsidRPr="00E0771A">
        <w:rPr>
          <w:lang w:eastAsia="ja-JP"/>
        </w:rPr>
        <w:tab/>
        <w:t>On frequency range for NR band n259</w:t>
      </w:r>
      <w:r>
        <w:rPr>
          <w:lang w:eastAsia="ja-JP"/>
        </w:rPr>
        <w:t>,</w:t>
      </w:r>
      <w:r w:rsidRPr="00E0771A">
        <w:rPr>
          <w:i/>
        </w:rPr>
        <w:t xml:space="preserve"> </w:t>
      </w:r>
      <w:r>
        <w:rPr>
          <w:i/>
        </w:rPr>
        <w:t xml:space="preserve">Huawei, </w:t>
      </w:r>
      <w:proofErr w:type="spellStart"/>
      <w:r>
        <w:rPr>
          <w:i/>
        </w:rPr>
        <w:t>HiSilicon</w:t>
      </w:r>
      <w:proofErr w:type="spellEnd"/>
    </w:p>
    <w:p w:rsidR="00E0771A" w:rsidRDefault="00E0771A" w:rsidP="00E0771A">
      <w:pPr>
        <w:rPr>
          <w:lang w:eastAsia="ja-JP"/>
        </w:rPr>
      </w:pPr>
      <w:r>
        <w:rPr>
          <w:lang w:eastAsia="ja-JP"/>
        </w:rPr>
        <w:t>R4-1907101</w:t>
      </w:r>
      <w:r>
        <w:rPr>
          <w:lang w:eastAsia="ja-JP"/>
        </w:rPr>
        <w:tab/>
        <w:t>TP for TR 38.887, Ericsson GmbH</w:t>
      </w:r>
    </w:p>
    <w:p w:rsidR="00E0771A" w:rsidRDefault="00E0771A" w:rsidP="00E0771A">
      <w:pPr>
        <w:rPr>
          <w:lang w:eastAsia="ja-JP"/>
        </w:rPr>
      </w:pPr>
      <w:r w:rsidRPr="00E0771A">
        <w:rPr>
          <w:lang w:eastAsia="ja-JP"/>
        </w:rPr>
        <w:t>R4-1907786</w:t>
      </w:r>
      <w:r w:rsidRPr="00E0771A">
        <w:rPr>
          <w:lang w:eastAsia="ja-JP"/>
        </w:rPr>
        <w:tab/>
        <w:t>TP for TR 38.887: Regulatory situation in 37-43.5 GHz frequency range</w:t>
      </w:r>
      <w:r>
        <w:rPr>
          <w:lang w:eastAsia="ja-JP"/>
        </w:rPr>
        <w:t>, Ericsson GmbH, Huawei</w:t>
      </w:r>
    </w:p>
    <w:p w:rsidR="00E0771A" w:rsidRPr="00E0771A" w:rsidRDefault="00E0771A" w:rsidP="00E0771A">
      <w:pPr>
        <w:rPr>
          <w:lang w:eastAsia="ja-JP"/>
        </w:rPr>
      </w:pPr>
      <w:r w:rsidRPr="00E0771A">
        <w:rPr>
          <w:lang w:eastAsia="ja-JP"/>
        </w:rPr>
        <w:t>R4-1906862</w:t>
      </w:r>
      <w:r w:rsidRPr="00E0771A">
        <w:rPr>
          <w:lang w:eastAsia="ja-JP"/>
        </w:rPr>
        <w:tab/>
        <w:t>BS RF requirements for n259</w:t>
      </w:r>
      <w:r>
        <w:rPr>
          <w:lang w:eastAsia="ja-JP"/>
        </w:rPr>
        <w:t xml:space="preserve">, </w:t>
      </w:r>
      <w:r>
        <w:rPr>
          <w:i/>
        </w:rPr>
        <w:t xml:space="preserve">Huawei, </w:t>
      </w:r>
      <w:proofErr w:type="spellStart"/>
      <w:r>
        <w:rPr>
          <w:i/>
        </w:rPr>
        <w:t>HiSilicon</w:t>
      </w:r>
      <w:proofErr w:type="spellEnd"/>
    </w:p>
    <w:p w:rsidR="00701410" w:rsidRDefault="00701410" w:rsidP="00701410">
      <w:pPr>
        <w:pStyle w:val="Heading4"/>
        <w:rPr>
          <w:lang w:eastAsia="ja-JP"/>
        </w:rPr>
      </w:pPr>
      <w:r>
        <w:rPr>
          <w:lang w:eastAsia="ja-JP"/>
        </w:rPr>
        <w:t>2.4.2</w:t>
      </w:r>
      <w:r>
        <w:rPr>
          <w:lang w:eastAsia="ja-JP"/>
        </w:rPr>
        <w:tab/>
        <w:t>Remaining Open issues</w:t>
      </w:r>
    </w:p>
    <w:p w:rsidR="00E0771A" w:rsidRPr="00E0771A" w:rsidRDefault="00E0771A" w:rsidP="00E0771A">
      <w:pPr>
        <w:rPr>
          <w:lang w:eastAsia="ja-JP"/>
        </w:rPr>
      </w:pPr>
      <w:r>
        <w:rPr>
          <w:lang w:eastAsia="ja-JP"/>
        </w:rPr>
        <w:t xml:space="preserve">        Core part:</w:t>
      </w:r>
    </w:p>
    <w:p w:rsidR="00E0771A" w:rsidRPr="00B75FA1" w:rsidRDefault="00E0771A" w:rsidP="00E0771A">
      <w:pPr>
        <w:pStyle w:val="ListParagraph"/>
        <w:widowControl/>
        <w:numPr>
          <w:ilvl w:val="0"/>
          <w:numId w:val="19"/>
        </w:numPr>
        <w:overflowPunct w:val="0"/>
        <w:autoSpaceDE w:val="0"/>
        <w:autoSpaceDN w:val="0"/>
        <w:adjustRightInd w:val="0"/>
        <w:ind w:leftChars="0"/>
        <w:contextualSpacing/>
        <w:jc w:val="left"/>
        <w:textAlignment w:val="baseline"/>
        <w:rPr>
          <w:rFonts w:asciiTheme="majorBidi" w:hAnsiTheme="majorBidi" w:cstheme="majorBidi"/>
          <w:sz w:val="20"/>
          <w:szCs w:val="20"/>
        </w:rPr>
      </w:pPr>
      <w:r w:rsidRPr="00B75FA1">
        <w:rPr>
          <w:rFonts w:asciiTheme="majorBidi" w:hAnsiTheme="majorBidi" w:cstheme="majorBidi"/>
          <w:sz w:val="20"/>
          <w:szCs w:val="20"/>
        </w:rPr>
        <w:t>Transmitter and receiver characteristics requirements for the UE (38.101-2)</w:t>
      </w:r>
    </w:p>
    <w:p w:rsidR="00E0771A" w:rsidRPr="00B75FA1" w:rsidRDefault="00E0771A" w:rsidP="00E0771A">
      <w:pPr>
        <w:pStyle w:val="ListParagraph"/>
        <w:widowControl/>
        <w:numPr>
          <w:ilvl w:val="0"/>
          <w:numId w:val="19"/>
        </w:numPr>
        <w:overflowPunct w:val="0"/>
        <w:autoSpaceDE w:val="0"/>
        <w:autoSpaceDN w:val="0"/>
        <w:adjustRightInd w:val="0"/>
        <w:ind w:leftChars="0"/>
        <w:contextualSpacing/>
        <w:jc w:val="left"/>
        <w:textAlignment w:val="baseline"/>
        <w:rPr>
          <w:rFonts w:asciiTheme="majorBidi" w:hAnsiTheme="majorBidi" w:cstheme="majorBidi"/>
          <w:sz w:val="20"/>
          <w:szCs w:val="20"/>
        </w:rPr>
      </w:pPr>
      <w:r w:rsidRPr="00B75FA1">
        <w:rPr>
          <w:rFonts w:asciiTheme="majorBidi" w:hAnsiTheme="majorBidi" w:cstheme="majorBidi"/>
          <w:sz w:val="20"/>
          <w:szCs w:val="20"/>
        </w:rPr>
        <w:t>Transmitter and receiver characteristics requirements for the BS (38.104)</w:t>
      </w:r>
    </w:p>
    <w:p w:rsidR="00E0771A" w:rsidRPr="00B75FA1" w:rsidRDefault="00E0771A" w:rsidP="00E0771A">
      <w:pPr>
        <w:pStyle w:val="Heading3"/>
        <w:rPr>
          <w:rFonts w:asciiTheme="majorBidi" w:hAnsiTheme="majorBidi" w:cstheme="majorBidi"/>
          <w:color w:val="0000FF"/>
          <w:sz w:val="20"/>
        </w:rPr>
      </w:pPr>
      <w:r w:rsidRPr="00B75FA1">
        <w:rPr>
          <w:rFonts w:asciiTheme="majorBidi" w:hAnsiTheme="majorBidi" w:cstheme="majorBidi"/>
          <w:color w:val="0000FF"/>
          <w:sz w:val="20"/>
        </w:rPr>
        <w:t xml:space="preserve">     </w:t>
      </w:r>
      <w:r w:rsidRPr="00B75FA1">
        <w:rPr>
          <w:rFonts w:asciiTheme="majorBidi" w:hAnsiTheme="majorBidi" w:cstheme="majorBidi"/>
          <w:color w:val="000000" w:themeColor="text1"/>
          <w:sz w:val="20"/>
        </w:rPr>
        <w:t xml:space="preserve">Performance part: </w:t>
      </w:r>
    </w:p>
    <w:p w:rsidR="00E0771A" w:rsidRPr="00B75FA1" w:rsidRDefault="00E0771A" w:rsidP="00E0771A">
      <w:pPr>
        <w:pStyle w:val="ListParagraph"/>
        <w:numPr>
          <w:ilvl w:val="0"/>
          <w:numId w:val="20"/>
        </w:numPr>
        <w:ind w:leftChars="0"/>
        <w:rPr>
          <w:rFonts w:asciiTheme="majorBidi" w:hAnsiTheme="majorBidi" w:cstheme="majorBidi"/>
          <w:sz w:val="20"/>
          <w:szCs w:val="20"/>
          <w:shd w:val="clear" w:color="auto" w:fill="FFFFFF"/>
        </w:rPr>
      </w:pPr>
      <w:r w:rsidRPr="00B75FA1">
        <w:rPr>
          <w:rFonts w:asciiTheme="majorBidi" w:hAnsiTheme="majorBidi" w:cstheme="majorBidi"/>
          <w:sz w:val="20"/>
          <w:szCs w:val="20"/>
          <w:shd w:val="clear" w:color="auto" w:fill="FFFFFF"/>
        </w:rPr>
        <w:t>The new band to band group for RRM measurement accuracy requirements</w:t>
      </w:r>
    </w:p>
    <w:p w:rsidR="00E0771A" w:rsidRPr="00B75FA1" w:rsidRDefault="00E0771A" w:rsidP="00E0771A">
      <w:pPr>
        <w:pStyle w:val="ListParagraph"/>
        <w:widowControl/>
        <w:numPr>
          <w:ilvl w:val="0"/>
          <w:numId w:val="19"/>
        </w:numPr>
        <w:overflowPunct w:val="0"/>
        <w:autoSpaceDE w:val="0"/>
        <w:autoSpaceDN w:val="0"/>
        <w:adjustRightInd w:val="0"/>
        <w:ind w:leftChars="0"/>
        <w:contextualSpacing/>
        <w:jc w:val="left"/>
        <w:textAlignment w:val="baseline"/>
        <w:rPr>
          <w:rFonts w:asciiTheme="majorBidi" w:hAnsiTheme="majorBidi" w:cstheme="majorBidi"/>
          <w:sz w:val="20"/>
          <w:szCs w:val="20"/>
        </w:rPr>
      </w:pPr>
      <w:r w:rsidRPr="00B75FA1">
        <w:rPr>
          <w:rFonts w:asciiTheme="majorBidi" w:hAnsiTheme="majorBidi" w:cstheme="majorBidi"/>
          <w:sz w:val="20"/>
          <w:szCs w:val="20"/>
        </w:rPr>
        <w:t>Conformance requirements for BS (38.141)</w:t>
      </w:r>
    </w:p>
    <w:p w:rsidR="00E0771A" w:rsidRPr="00B75FA1" w:rsidRDefault="00E0771A" w:rsidP="00E0771A">
      <w:pPr>
        <w:pStyle w:val="ListParagraph"/>
        <w:widowControl/>
        <w:numPr>
          <w:ilvl w:val="0"/>
          <w:numId w:val="19"/>
        </w:numPr>
        <w:overflowPunct w:val="0"/>
        <w:autoSpaceDE w:val="0"/>
        <w:autoSpaceDN w:val="0"/>
        <w:adjustRightInd w:val="0"/>
        <w:ind w:leftChars="0"/>
        <w:contextualSpacing/>
        <w:jc w:val="left"/>
        <w:textAlignment w:val="baseline"/>
        <w:rPr>
          <w:rFonts w:asciiTheme="majorBidi" w:hAnsiTheme="majorBidi" w:cstheme="majorBidi"/>
          <w:sz w:val="20"/>
          <w:szCs w:val="20"/>
        </w:rPr>
      </w:pPr>
      <w:r w:rsidRPr="00B75FA1">
        <w:rPr>
          <w:rFonts w:asciiTheme="majorBidi" w:hAnsiTheme="majorBidi" w:cstheme="majorBidi"/>
          <w:sz w:val="20"/>
          <w:szCs w:val="20"/>
        </w:rPr>
        <w:t>Changes to be added to release independence TS 38.307</w:t>
      </w:r>
    </w:p>
    <w:p w:rsidR="00E0771A" w:rsidRPr="00E0771A" w:rsidRDefault="00E0771A" w:rsidP="00E0771A">
      <w:pPr>
        <w:rPr>
          <w:lang w:val="en-US"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7D78" w:rsidRDefault="00C87D78">
      <w:r>
        <w:separator/>
      </w:r>
    </w:p>
  </w:endnote>
  <w:endnote w:type="continuationSeparator" w:id="0">
    <w:p w:rsidR="00C87D78" w:rsidRDefault="00C87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7D78" w:rsidRDefault="00C87D78">
      <w:r>
        <w:separator/>
      </w:r>
    </w:p>
  </w:footnote>
  <w:footnote w:type="continuationSeparator" w:id="0">
    <w:p w:rsidR="00C87D78" w:rsidRDefault="00C87D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33F02FF"/>
    <w:multiLevelType w:val="hybridMultilevel"/>
    <w:tmpl w:val="3D00834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7"/>
  </w:num>
  <w:num w:numId="6">
    <w:abstractNumId w:val="18"/>
  </w:num>
  <w:num w:numId="7">
    <w:abstractNumId w:val="2"/>
  </w:num>
  <w:num w:numId="8">
    <w:abstractNumId w:val="6"/>
  </w:num>
  <w:num w:numId="9">
    <w:abstractNumId w:val="12"/>
  </w:num>
  <w:num w:numId="10">
    <w:abstractNumId w:val="19"/>
  </w:num>
  <w:num w:numId="11">
    <w:abstractNumId w:val="13"/>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27BCF"/>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5E42"/>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F1456"/>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16A7"/>
    <w:rsid w:val="009378CA"/>
    <w:rsid w:val="0095025E"/>
    <w:rsid w:val="00955C4C"/>
    <w:rsid w:val="00995338"/>
    <w:rsid w:val="00996777"/>
    <w:rsid w:val="009C0BC7"/>
    <w:rsid w:val="009C6592"/>
    <w:rsid w:val="009E209B"/>
    <w:rsid w:val="009F0747"/>
    <w:rsid w:val="00A03514"/>
    <w:rsid w:val="00A05DF9"/>
    <w:rsid w:val="00A065C6"/>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3B51"/>
    <w:rsid w:val="00AF07D3"/>
    <w:rsid w:val="00B00BBE"/>
    <w:rsid w:val="00B10710"/>
    <w:rsid w:val="00B208FA"/>
    <w:rsid w:val="00B25C12"/>
    <w:rsid w:val="00B2766F"/>
    <w:rsid w:val="00B31ABC"/>
    <w:rsid w:val="00B445ED"/>
    <w:rsid w:val="00B6300F"/>
    <w:rsid w:val="00B70389"/>
    <w:rsid w:val="00B75FA1"/>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87D7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11F3"/>
    <w:rsid w:val="00E049A8"/>
    <w:rsid w:val="00E0771A"/>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0979"/>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650D9"/>
    <w:rsid w:val="00F72B10"/>
    <w:rsid w:val="00F77359"/>
    <w:rsid w:val="00F86A73"/>
    <w:rsid w:val="00F94B86"/>
    <w:rsid w:val="00FA58DA"/>
    <w:rsid w:val="00FC345B"/>
    <w:rsid w:val="00FD4E37"/>
    <w:rsid w:val="00FF2873"/>
    <w:rsid w:val="00FF4C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0F1CC"/>
  <w15:docId w15:val="{3F8E37D6-90BD-42D2-BA1D-6D6010C43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link w:val="NOChar"/>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
    <w:link w:val="Heading3"/>
    <w:rsid w:val="00E0771A"/>
    <w:rPr>
      <w:rFonts w:ascii="Arial" w:eastAsia="Times New Roman" w:hAnsi="Arial"/>
      <w:sz w:val="28"/>
      <w:lang w:val="en-GB" w:eastAsia="en-GB"/>
    </w:rPr>
  </w:style>
  <w:style w:type="character" w:customStyle="1" w:styleId="NOChar">
    <w:name w:val="NO Char"/>
    <w:link w:val="NO"/>
    <w:rsid w:val="00E0771A"/>
    <w:rPr>
      <w:rFonts w:eastAsia="Times New Roman"/>
      <w:lang w:val="en-GB" w:eastAsia="en-GB"/>
    </w:rPr>
  </w:style>
  <w:style w:type="character" w:styleId="UnresolvedMention">
    <w:name w:val="Unresolved Mention"/>
    <w:basedOn w:val="DefaultParagraphFont"/>
    <w:uiPriority w:val="99"/>
    <w:semiHidden/>
    <w:unhideWhenUsed/>
    <w:rsid w:val="00AE3B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5113944">
      <w:bodyDiv w:val="1"/>
      <w:marLeft w:val="0"/>
      <w:marRight w:val="0"/>
      <w:marTop w:val="0"/>
      <w:marBottom w:val="0"/>
      <w:divBdr>
        <w:top w:val="none" w:sz="0" w:space="0" w:color="auto"/>
        <w:left w:val="none" w:sz="0" w:space="0" w:color="auto"/>
        <w:bottom w:val="none" w:sz="0" w:space="0" w:color="auto"/>
        <w:right w:val="none" w:sz="0" w:space="0" w:color="auto"/>
      </w:divBdr>
      <w:divsChild>
        <w:div w:id="79986067">
          <w:marLeft w:val="0"/>
          <w:marRight w:val="75"/>
          <w:marTop w:val="0"/>
          <w:marBottom w:val="0"/>
          <w:divBdr>
            <w:top w:val="none" w:sz="0" w:space="0" w:color="auto"/>
            <w:left w:val="none" w:sz="0" w:space="0" w:color="auto"/>
            <w:bottom w:val="none" w:sz="0" w:space="0" w:color="auto"/>
            <w:right w:val="none" w:sz="0" w:space="0" w:color="auto"/>
          </w:divBdr>
        </w:div>
        <w:div w:id="1475291135">
          <w:marLeft w:val="0"/>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eihaneh.malekafzaliardakani@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818</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Reihaneh Malekafzali</cp:lastModifiedBy>
  <cp:revision>2</cp:revision>
  <dcterms:created xsi:type="dcterms:W3CDTF">2019-05-27T19:23:00Z</dcterms:created>
  <dcterms:modified xsi:type="dcterms:W3CDTF">2019-05-27T19:23:00Z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